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E1D9" w14:textId="77777777" w:rsidR="000B6178" w:rsidRPr="00897331" w:rsidRDefault="000B6178" w:rsidP="00905C38">
      <w:pPr>
        <w:pStyle w:val="Prrafodelista"/>
        <w:numPr>
          <w:ilvl w:val="0"/>
          <w:numId w:val="2"/>
        </w:numPr>
        <w:spacing w:before="120" w:after="120" w:line="320" w:lineRule="exact"/>
        <w:ind w:left="284" w:hanging="284"/>
        <w:jc w:val="both"/>
        <w:rPr>
          <w:rFonts w:ascii="Palatino Linotype" w:hAnsi="Palatino Linotype"/>
          <w:b/>
          <w:sz w:val="20"/>
          <w:szCs w:val="20"/>
        </w:rPr>
      </w:pPr>
      <w:r w:rsidRPr="002E377E">
        <w:rPr>
          <w:rFonts w:ascii="Palatino Linotype" w:hAnsi="Palatino Linotype"/>
          <w:b/>
          <w:sz w:val="20"/>
          <w:szCs w:val="20"/>
        </w:rPr>
        <w:t xml:space="preserve">ANEXO </w:t>
      </w:r>
      <w:bookmarkStart w:id="0" w:name="_GoBack"/>
      <w:bookmarkEnd w:id="0"/>
      <w:r w:rsidRPr="002E377E">
        <w:rPr>
          <w:rFonts w:ascii="Palatino Linotype" w:hAnsi="Palatino Linotype"/>
          <w:b/>
          <w:sz w:val="20"/>
          <w:szCs w:val="20"/>
        </w:rPr>
        <w:t>I: INSTRUCCIONES PARA LA SOLICITUD DE PROYECTOS</w:t>
      </w:r>
      <w:r w:rsidRPr="00897331">
        <w:rPr>
          <w:rFonts w:ascii="Palatino Linotype" w:hAnsi="Palatino Linotype"/>
          <w:b/>
          <w:sz w:val="20"/>
          <w:szCs w:val="20"/>
        </w:rPr>
        <w:t xml:space="preserve"> </w:t>
      </w:r>
    </w:p>
    <w:p w14:paraId="0601B54E" w14:textId="77777777" w:rsidR="000B6178" w:rsidRDefault="000B6178" w:rsidP="000B6178">
      <w:pPr>
        <w:pStyle w:val="Textonormal"/>
        <w:ind w:left="357"/>
        <w:rPr>
          <w:rFonts w:ascii="Palatino Linotype" w:hAnsi="Palatino Linotype"/>
          <w:sz w:val="20"/>
          <w:szCs w:val="20"/>
        </w:rPr>
      </w:pPr>
      <w:r w:rsidRPr="008339B8">
        <w:rPr>
          <w:rFonts w:ascii="Palatino Linotype" w:hAnsi="Palatino Linotype"/>
          <w:b/>
          <w:sz w:val="20"/>
          <w:szCs w:val="20"/>
        </w:rPr>
        <w:t>6.1</w:t>
      </w:r>
      <w:r>
        <w:rPr>
          <w:rFonts w:ascii="Palatino Linotype" w:hAnsi="Palatino Linotype"/>
          <w:sz w:val="20"/>
          <w:szCs w:val="20"/>
        </w:rPr>
        <w:t xml:space="preserve"> </w:t>
      </w:r>
      <w:r w:rsidRPr="008339B8">
        <w:rPr>
          <w:rFonts w:ascii="Palatino Linotype" w:hAnsi="Palatino Linotype"/>
          <w:sz w:val="20"/>
          <w:szCs w:val="20"/>
        </w:rPr>
        <w:t>En las solicitudes que impliquen gastos de transporte para la realización de las prácticas de campo, se tendrán en cuenta, de forma orientativa, los siguientes precios (IVA excluido):</w:t>
      </w:r>
    </w:p>
    <w:p w14:paraId="53DFB0AC" w14:textId="110EF60B" w:rsidR="000B6178" w:rsidRPr="008339B8" w:rsidRDefault="000B6178" w:rsidP="000B6178">
      <w:pPr>
        <w:pStyle w:val="Textonormal"/>
        <w:ind w:left="357"/>
        <w:rPr>
          <w:rFonts w:ascii="Palatino Linotype" w:hAnsi="Palatino Linotype"/>
          <w:sz w:val="20"/>
          <w:szCs w:val="20"/>
        </w:rPr>
      </w:pPr>
      <w:r w:rsidRPr="008339B8">
        <w:rPr>
          <w:rFonts w:ascii="Palatino Linotype" w:hAnsi="Palatino Linotype"/>
          <w:sz w:val="20"/>
          <w:szCs w:val="20"/>
        </w:rPr>
        <w:tab/>
        <w:t>Capacidad del autobús: hasta 25 personas.</w:t>
      </w:r>
    </w:p>
    <w:p w14:paraId="47899303" w14:textId="77777777" w:rsidR="000B6178" w:rsidRPr="008339B8" w:rsidRDefault="000B6178" w:rsidP="000B6178">
      <w:pPr>
        <w:pStyle w:val="Textonormal"/>
        <w:numPr>
          <w:ilvl w:val="0"/>
          <w:numId w:val="3"/>
        </w:numPr>
        <w:rPr>
          <w:rFonts w:ascii="Palatino Linotype" w:hAnsi="Palatino Linotype"/>
          <w:sz w:val="20"/>
          <w:szCs w:val="20"/>
        </w:rPr>
      </w:pPr>
      <w:r w:rsidRPr="008339B8">
        <w:rPr>
          <w:rFonts w:ascii="Palatino Linotype" w:hAnsi="Palatino Linotype"/>
          <w:sz w:val="20"/>
          <w:szCs w:val="20"/>
        </w:rPr>
        <w:t xml:space="preserve">Precio por día: </w:t>
      </w:r>
    </w:p>
    <w:p w14:paraId="03D9B129" w14:textId="77777777" w:rsidR="000B6178" w:rsidRPr="008339B8" w:rsidRDefault="000B6178" w:rsidP="000B6178">
      <w:pPr>
        <w:pStyle w:val="Textonormal"/>
        <w:ind w:left="786" w:firstLine="501"/>
        <w:rPr>
          <w:rFonts w:ascii="Palatino Linotype" w:hAnsi="Palatino Linotype"/>
          <w:sz w:val="20"/>
          <w:szCs w:val="20"/>
        </w:rPr>
      </w:pPr>
      <w:r w:rsidRPr="008339B8">
        <w:rPr>
          <w:rFonts w:ascii="Palatino Linotype" w:hAnsi="Palatino Linotype"/>
          <w:sz w:val="20"/>
          <w:szCs w:val="20"/>
        </w:rPr>
        <w:t>- Precio por ida y vuelta en el mismo día (hasta 300 km): 382,14 euros IVA excluido.</w:t>
      </w:r>
    </w:p>
    <w:p w14:paraId="516E27EB" w14:textId="77777777" w:rsidR="000B6178" w:rsidRPr="008339B8" w:rsidRDefault="000B6178" w:rsidP="000B6178">
      <w:pPr>
        <w:pStyle w:val="Textonormal"/>
        <w:ind w:left="1146" w:firstLine="141"/>
        <w:rPr>
          <w:rFonts w:ascii="Palatino Linotype" w:hAnsi="Palatino Linotype"/>
          <w:sz w:val="20"/>
          <w:szCs w:val="20"/>
        </w:rPr>
      </w:pPr>
      <w:r w:rsidRPr="008339B8">
        <w:rPr>
          <w:rFonts w:ascii="Palatino Linotype" w:hAnsi="Palatino Linotype"/>
          <w:sz w:val="20"/>
          <w:szCs w:val="20"/>
        </w:rPr>
        <w:t>- Precio por día con pernoctación (hasta 300 km): 461,34 euros IVA excluido.</w:t>
      </w:r>
    </w:p>
    <w:p w14:paraId="09FE3ACA" w14:textId="77777777" w:rsidR="000B6178" w:rsidRPr="008339B8" w:rsidRDefault="000B6178" w:rsidP="000B6178">
      <w:pPr>
        <w:pStyle w:val="Textonormal"/>
        <w:ind w:left="1005" w:firstLine="282"/>
        <w:rPr>
          <w:rFonts w:ascii="Palatino Linotype" w:hAnsi="Palatino Linotype"/>
          <w:sz w:val="20"/>
          <w:szCs w:val="20"/>
        </w:rPr>
      </w:pPr>
      <w:r w:rsidRPr="008339B8">
        <w:rPr>
          <w:rFonts w:ascii="Palatino Linotype" w:hAnsi="Palatino Linotype"/>
          <w:sz w:val="20"/>
          <w:szCs w:val="20"/>
        </w:rPr>
        <w:t>- Precio por kilómetro que exceda del número mínimo: 1,09 euros IVA excluido.</w:t>
      </w:r>
    </w:p>
    <w:p w14:paraId="792217BE" w14:textId="77777777" w:rsidR="000B6178" w:rsidRPr="008339B8" w:rsidRDefault="000B6178" w:rsidP="000B6178">
      <w:pPr>
        <w:pStyle w:val="Textonormal"/>
        <w:ind w:left="567"/>
        <w:rPr>
          <w:rFonts w:ascii="Palatino Linotype" w:hAnsi="Palatino Linotype"/>
          <w:sz w:val="20"/>
          <w:szCs w:val="20"/>
        </w:rPr>
      </w:pPr>
      <w:r w:rsidRPr="008339B8">
        <w:rPr>
          <w:rFonts w:ascii="Palatino Linotype" w:hAnsi="Palatino Linotype"/>
          <w:sz w:val="20"/>
          <w:szCs w:val="20"/>
        </w:rPr>
        <w:tab/>
        <w:t>Capacidad del autobús: hasta 55 personas.</w:t>
      </w:r>
    </w:p>
    <w:p w14:paraId="2BF5D55A" w14:textId="77777777" w:rsidR="000B6178" w:rsidRPr="008339B8" w:rsidRDefault="000B6178" w:rsidP="000B6178">
      <w:pPr>
        <w:pStyle w:val="Textonormal"/>
        <w:numPr>
          <w:ilvl w:val="0"/>
          <w:numId w:val="3"/>
        </w:numPr>
        <w:rPr>
          <w:rFonts w:ascii="Palatino Linotype" w:hAnsi="Palatino Linotype"/>
          <w:sz w:val="20"/>
          <w:szCs w:val="20"/>
        </w:rPr>
      </w:pPr>
      <w:r w:rsidRPr="008339B8">
        <w:rPr>
          <w:rFonts w:ascii="Palatino Linotype" w:hAnsi="Palatino Linotype"/>
          <w:sz w:val="20"/>
          <w:szCs w:val="20"/>
        </w:rPr>
        <w:t xml:space="preserve">Precio por día: </w:t>
      </w:r>
    </w:p>
    <w:p w14:paraId="1106A4F5" w14:textId="77777777" w:rsidR="000B6178" w:rsidRPr="008339B8" w:rsidRDefault="000B6178" w:rsidP="000B6178">
      <w:pPr>
        <w:pStyle w:val="Textonormal"/>
        <w:ind w:left="786" w:firstLine="501"/>
        <w:rPr>
          <w:rFonts w:ascii="Palatino Linotype" w:hAnsi="Palatino Linotype"/>
          <w:sz w:val="20"/>
          <w:szCs w:val="20"/>
        </w:rPr>
      </w:pPr>
      <w:r w:rsidRPr="008339B8">
        <w:rPr>
          <w:rFonts w:ascii="Palatino Linotype" w:hAnsi="Palatino Linotype"/>
          <w:sz w:val="20"/>
          <w:szCs w:val="20"/>
        </w:rPr>
        <w:t>- Precio por ida y vuelta en el mismo día (hasta 300 km): 414,20 euros IVA excluido.</w:t>
      </w:r>
    </w:p>
    <w:p w14:paraId="46F2F484" w14:textId="77777777" w:rsidR="000B6178" w:rsidRPr="008339B8" w:rsidRDefault="000B6178" w:rsidP="000B6178">
      <w:pPr>
        <w:pStyle w:val="Textonormal"/>
        <w:ind w:left="1146" w:firstLine="141"/>
        <w:rPr>
          <w:rFonts w:ascii="Palatino Linotype" w:hAnsi="Palatino Linotype"/>
          <w:sz w:val="20"/>
          <w:szCs w:val="20"/>
        </w:rPr>
      </w:pPr>
      <w:r w:rsidRPr="008339B8">
        <w:rPr>
          <w:rFonts w:ascii="Palatino Linotype" w:hAnsi="Palatino Linotype"/>
          <w:sz w:val="20"/>
          <w:szCs w:val="20"/>
        </w:rPr>
        <w:t>- Precio por día con pernoctación (hasta 300 km): 490,20 euros IVA excluido.</w:t>
      </w:r>
    </w:p>
    <w:p w14:paraId="719B378E" w14:textId="77777777" w:rsidR="000B6178" w:rsidRPr="008339B8" w:rsidRDefault="000B6178" w:rsidP="000B6178">
      <w:pPr>
        <w:pStyle w:val="Textonormal"/>
        <w:ind w:left="1005" w:firstLine="141"/>
        <w:rPr>
          <w:rFonts w:ascii="Palatino Linotype" w:hAnsi="Palatino Linotype"/>
          <w:sz w:val="20"/>
          <w:szCs w:val="20"/>
        </w:rPr>
      </w:pPr>
      <w:r w:rsidRPr="008339B8">
        <w:rPr>
          <w:rFonts w:ascii="Palatino Linotype" w:hAnsi="Palatino Linotype"/>
          <w:sz w:val="20"/>
          <w:szCs w:val="20"/>
        </w:rPr>
        <w:t>- Precio por kilómetro que exceda del número mínimo: 1,14 euros IVA excluido.</w:t>
      </w:r>
    </w:p>
    <w:p w14:paraId="6AAF26FD" w14:textId="77777777" w:rsidR="000B6178" w:rsidRPr="008339B8" w:rsidRDefault="000B6178" w:rsidP="000B6178">
      <w:pPr>
        <w:pStyle w:val="Textonormal"/>
        <w:ind w:left="357"/>
        <w:rPr>
          <w:rFonts w:ascii="Palatino Linotype" w:hAnsi="Palatino Linotype"/>
          <w:sz w:val="20"/>
          <w:szCs w:val="20"/>
        </w:rPr>
      </w:pPr>
      <w:r w:rsidRPr="008339B8">
        <w:rPr>
          <w:rFonts w:ascii="Palatino Linotype" w:hAnsi="Palatino Linotype"/>
          <w:b/>
          <w:sz w:val="20"/>
          <w:szCs w:val="20"/>
        </w:rPr>
        <w:t>6.2</w:t>
      </w:r>
      <w:r>
        <w:rPr>
          <w:rFonts w:ascii="Palatino Linotype" w:hAnsi="Palatino Linotype"/>
          <w:sz w:val="20"/>
          <w:szCs w:val="20"/>
        </w:rPr>
        <w:t xml:space="preserve"> </w:t>
      </w:r>
      <w:r w:rsidRPr="008339B8">
        <w:rPr>
          <w:rFonts w:ascii="Palatino Linotype" w:hAnsi="Palatino Linotype"/>
          <w:sz w:val="20"/>
          <w:szCs w:val="20"/>
        </w:rPr>
        <w:t>Sólo los Centros podrán solicitar proyectos para subvencionar la adquisición de ordenadores para aulas de docencia presencial, así como para la renovación de las aulas de informática utilizadas en prácticas, siempre que estén cumplimentados en la aplicación informática los horarios de dichas aulas. En estos casos, deberá consultarse previamente al Centro de Servicios de Informática y Redes de Comunicación (CSIRC) para recibir el asesoramiento y la supervisión necesarios. Dicho material será adquirido por la Universidad de forma conjunta, a través de un contrato, y su importe será cargado a cada proyecto.</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832"/>
      </w:tblGrid>
      <w:tr w:rsidR="000B6178" w:rsidRPr="008339B8" w14:paraId="7469AA09" w14:textId="77777777" w:rsidTr="00090A93">
        <w:tc>
          <w:tcPr>
            <w:tcW w:w="8624" w:type="dxa"/>
            <w:gridSpan w:val="2"/>
            <w:shd w:val="clear" w:color="auto" w:fill="auto"/>
            <w:vAlign w:val="center"/>
          </w:tcPr>
          <w:p w14:paraId="5C77A108"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cs="Calibri"/>
                <w:b/>
                <w:caps/>
                <w:color w:val="000000"/>
                <w:sz w:val="20"/>
                <w:szCs w:val="20"/>
                <w:lang w:eastAsia="en-US"/>
              </w:rPr>
              <w:t>TABLA DE PRECIOS</w:t>
            </w:r>
          </w:p>
        </w:tc>
      </w:tr>
      <w:tr w:rsidR="000B6178" w:rsidRPr="008339B8" w14:paraId="19C50B99" w14:textId="77777777" w:rsidTr="000B6178">
        <w:trPr>
          <w:trHeight w:val="501"/>
        </w:trPr>
        <w:tc>
          <w:tcPr>
            <w:tcW w:w="6703" w:type="dxa"/>
            <w:shd w:val="clear" w:color="auto" w:fill="auto"/>
            <w:vAlign w:val="center"/>
          </w:tcPr>
          <w:p w14:paraId="14AD1E52"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b/>
                <w:sz w:val="20"/>
                <w:szCs w:val="20"/>
                <w:lang w:eastAsia="en-US"/>
              </w:rPr>
              <w:t>Descripción</w:t>
            </w:r>
          </w:p>
        </w:tc>
        <w:tc>
          <w:tcPr>
            <w:tcW w:w="1921" w:type="dxa"/>
            <w:shd w:val="clear" w:color="auto" w:fill="auto"/>
            <w:vAlign w:val="center"/>
          </w:tcPr>
          <w:p w14:paraId="5070FDCA"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b/>
                <w:sz w:val="20"/>
                <w:szCs w:val="20"/>
                <w:lang w:eastAsia="en-US"/>
              </w:rPr>
              <w:t>Precio orientativo (IVA excluido)</w:t>
            </w:r>
          </w:p>
        </w:tc>
      </w:tr>
      <w:tr w:rsidR="000B6178" w:rsidRPr="008339B8" w14:paraId="4CD805D6" w14:textId="77777777" w:rsidTr="00090A93">
        <w:tc>
          <w:tcPr>
            <w:tcW w:w="6703" w:type="dxa"/>
            <w:shd w:val="clear" w:color="auto" w:fill="auto"/>
            <w:vAlign w:val="center"/>
          </w:tcPr>
          <w:p w14:paraId="375A9E8F"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BASE con INTEL i5 o equivalente</w:t>
            </w:r>
          </w:p>
        </w:tc>
        <w:tc>
          <w:tcPr>
            <w:tcW w:w="1921" w:type="dxa"/>
            <w:shd w:val="clear" w:color="auto" w:fill="auto"/>
            <w:vAlign w:val="center"/>
          </w:tcPr>
          <w:p w14:paraId="2A81B3B6"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349 €</w:t>
            </w:r>
          </w:p>
        </w:tc>
      </w:tr>
      <w:tr w:rsidR="000B6178" w:rsidRPr="008339B8" w14:paraId="1B01ECC4" w14:textId="77777777" w:rsidTr="00090A93">
        <w:tc>
          <w:tcPr>
            <w:tcW w:w="6703" w:type="dxa"/>
            <w:shd w:val="clear" w:color="auto" w:fill="auto"/>
            <w:vAlign w:val="center"/>
          </w:tcPr>
          <w:p w14:paraId="1664CFD7"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BASE con opción 16GB RAM</w:t>
            </w:r>
          </w:p>
        </w:tc>
        <w:tc>
          <w:tcPr>
            <w:tcW w:w="1921" w:type="dxa"/>
            <w:shd w:val="clear" w:color="auto" w:fill="auto"/>
            <w:vAlign w:val="center"/>
          </w:tcPr>
          <w:p w14:paraId="34863091"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292 €</w:t>
            </w:r>
          </w:p>
        </w:tc>
      </w:tr>
      <w:tr w:rsidR="000B6178" w:rsidRPr="008339B8" w14:paraId="440B21E7" w14:textId="77777777" w:rsidTr="00090A93">
        <w:tc>
          <w:tcPr>
            <w:tcW w:w="6703" w:type="dxa"/>
            <w:shd w:val="clear" w:color="auto" w:fill="auto"/>
            <w:vAlign w:val="center"/>
          </w:tcPr>
          <w:p w14:paraId="33E4D69F"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BASE con opción SSD 400 GB o superior</w:t>
            </w:r>
          </w:p>
        </w:tc>
        <w:tc>
          <w:tcPr>
            <w:tcW w:w="1921" w:type="dxa"/>
            <w:shd w:val="clear" w:color="auto" w:fill="auto"/>
            <w:vAlign w:val="center"/>
          </w:tcPr>
          <w:p w14:paraId="6D0A6D2C"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287 €</w:t>
            </w:r>
          </w:p>
        </w:tc>
      </w:tr>
      <w:tr w:rsidR="000B6178" w:rsidRPr="008339B8" w14:paraId="00D93238" w14:textId="77777777" w:rsidTr="00090A93">
        <w:tc>
          <w:tcPr>
            <w:tcW w:w="6703" w:type="dxa"/>
            <w:shd w:val="clear" w:color="auto" w:fill="auto"/>
            <w:vAlign w:val="center"/>
          </w:tcPr>
          <w:p w14:paraId="7A206A90"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BASE con torre Slim</w:t>
            </w:r>
          </w:p>
        </w:tc>
        <w:tc>
          <w:tcPr>
            <w:tcW w:w="1921" w:type="dxa"/>
            <w:shd w:val="clear" w:color="auto" w:fill="auto"/>
            <w:vAlign w:val="center"/>
          </w:tcPr>
          <w:p w14:paraId="48A519BD"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272,9 €</w:t>
            </w:r>
          </w:p>
        </w:tc>
      </w:tr>
      <w:tr w:rsidR="000B6178" w:rsidRPr="008339B8" w14:paraId="7147A53C" w14:textId="77777777" w:rsidTr="00090A93">
        <w:tc>
          <w:tcPr>
            <w:tcW w:w="6703" w:type="dxa"/>
            <w:shd w:val="clear" w:color="auto" w:fill="auto"/>
            <w:vAlign w:val="center"/>
          </w:tcPr>
          <w:p w14:paraId="2768378E"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TECLADO USB CON LECTOR DE TARJETAS</w:t>
            </w:r>
          </w:p>
        </w:tc>
        <w:tc>
          <w:tcPr>
            <w:tcW w:w="1921" w:type="dxa"/>
            <w:shd w:val="clear" w:color="auto" w:fill="auto"/>
            <w:vAlign w:val="center"/>
          </w:tcPr>
          <w:p w14:paraId="642818AE"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23 €</w:t>
            </w:r>
          </w:p>
        </w:tc>
      </w:tr>
      <w:tr w:rsidR="000B6178" w:rsidRPr="008339B8" w14:paraId="3C5DF028" w14:textId="77777777" w:rsidTr="00090A93">
        <w:tc>
          <w:tcPr>
            <w:tcW w:w="6703" w:type="dxa"/>
            <w:shd w:val="clear" w:color="auto" w:fill="auto"/>
            <w:vAlign w:val="center"/>
          </w:tcPr>
          <w:p w14:paraId="649AE508"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RATÓN ÓPTICO USB</w:t>
            </w:r>
          </w:p>
        </w:tc>
        <w:tc>
          <w:tcPr>
            <w:tcW w:w="1921" w:type="dxa"/>
            <w:shd w:val="clear" w:color="auto" w:fill="auto"/>
            <w:vAlign w:val="center"/>
          </w:tcPr>
          <w:p w14:paraId="25515606"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3 €</w:t>
            </w:r>
          </w:p>
        </w:tc>
      </w:tr>
      <w:tr w:rsidR="000B6178" w:rsidRPr="008339B8" w14:paraId="2A702430" w14:textId="77777777" w:rsidTr="00090A93">
        <w:tc>
          <w:tcPr>
            <w:tcW w:w="6703" w:type="dxa"/>
            <w:shd w:val="clear" w:color="auto" w:fill="auto"/>
            <w:vAlign w:val="center"/>
          </w:tcPr>
          <w:p w14:paraId="7AD30F69"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RATÓN ÓPTICO USB DE DISEÑO VERTICAL ERGONÓMICO</w:t>
            </w:r>
          </w:p>
        </w:tc>
        <w:tc>
          <w:tcPr>
            <w:tcW w:w="1921" w:type="dxa"/>
            <w:shd w:val="clear" w:color="auto" w:fill="auto"/>
            <w:vAlign w:val="center"/>
          </w:tcPr>
          <w:p w14:paraId="0E032A08"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10 €</w:t>
            </w:r>
          </w:p>
        </w:tc>
      </w:tr>
      <w:tr w:rsidR="000B6178" w:rsidRPr="008339B8" w14:paraId="71FF0A28" w14:textId="77777777" w:rsidTr="00090A93">
        <w:tc>
          <w:tcPr>
            <w:tcW w:w="6703" w:type="dxa"/>
            <w:shd w:val="clear" w:color="auto" w:fill="auto"/>
            <w:vAlign w:val="center"/>
          </w:tcPr>
          <w:p w14:paraId="2B291084"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RATON TRACKBALL</w:t>
            </w:r>
          </w:p>
        </w:tc>
        <w:tc>
          <w:tcPr>
            <w:tcW w:w="1921" w:type="dxa"/>
            <w:shd w:val="clear" w:color="auto" w:fill="auto"/>
            <w:vAlign w:val="center"/>
          </w:tcPr>
          <w:p w14:paraId="616B71F1"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22 €</w:t>
            </w:r>
          </w:p>
        </w:tc>
      </w:tr>
      <w:tr w:rsidR="000B6178" w:rsidRPr="008339B8" w14:paraId="17F9710A" w14:textId="77777777" w:rsidTr="00090A93">
        <w:trPr>
          <w:trHeight w:val="70"/>
        </w:trPr>
        <w:tc>
          <w:tcPr>
            <w:tcW w:w="6703" w:type="dxa"/>
            <w:shd w:val="clear" w:color="auto" w:fill="auto"/>
            <w:vAlign w:val="center"/>
          </w:tcPr>
          <w:p w14:paraId="6035980A" w14:textId="77777777" w:rsidR="000B6178" w:rsidRPr="008339B8" w:rsidRDefault="000B6178" w:rsidP="00090A93">
            <w:pPr>
              <w:contextualSpacing/>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KIT INALAMBRICO DE TECLADO CON LECTOR DE TARJETAS Y RATÓN</w:t>
            </w:r>
          </w:p>
        </w:tc>
        <w:tc>
          <w:tcPr>
            <w:tcW w:w="1921" w:type="dxa"/>
            <w:shd w:val="clear" w:color="auto" w:fill="auto"/>
            <w:vAlign w:val="center"/>
          </w:tcPr>
          <w:p w14:paraId="0316AD0D" w14:textId="77777777" w:rsidR="000B6178" w:rsidRPr="008339B8" w:rsidRDefault="000B6178" w:rsidP="00090A93">
            <w:pPr>
              <w:contextualSpacing/>
              <w:jc w:val="center"/>
              <w:rPr>
                <w:rFonts w:ascii="Palatino Linotype" w:eastAsia="Calibri" w:hAnsi="Palatino Linotype"/>
                <w:sz w:val="22"/>
                <w:szCs w:val="22"/>
                <w:lang w:eastAsia="en-US"/>
              </w:rPr>
            </w:pPr>
            <w:r w:rsidRPr="008339B8">
              <w:rPr>
                <w:rFonts w:ascii="Palatino Linotype" w:eastAsia="Calibri" w:hAnsi="Palatino Linotype"/>
                <w:sz w:val="20"/>
                <w:szCs w:val="20"/>
                <w:lang w:eastAsia="en-US"/>
              </w:rPr>
              <w:t>11 €</w:t>
            </w:r>
          </w:p>
        </w:tc>
      </w:tr>
    </w:tbl>
    <w:p w14:paraId="577251A5" w14:textId="77777777" w:rsidR="000B6178" w:rsidRDefault="000B6178" w:rsidP="000B6178">
      <w:pPr>
        <w:pStyle w:val="Textonormal"/>
        <w:ind w:left="357"/>
        <w:rPr>
          <w:rFonts w:ascii="Palatino Linotype" w:hAnsi="Palatino Linotype"/>
          <w:sz w:val="20"/>
          <w:szCs w:val="20"/>
        </w:rPr>
      </w:pPr>
      <w:r w:rsidRPr="008339B8">
        <w:rPr>
          <w:rFonts w:ascii="Palatino Linotype" w:hAnsi="Palatino Linotype"/>
          <w:b/>
          <w:sz w:val="20"/>
          <w:szCs w:val="20"/>
        </w:rPr>
        <w:lastRenderedPageBreak/>
        <w:t>6.3</w:t>
      </w:r>
      <w:r>
        <w:rPr>
          <w:rFonts w:ascii="Palatino Linotype" w:hAnsi="Palatino Linotype"/>
          <w:sz w:val="20"/>
          <w:szCs w:val="20"/>
        </w:rPr>
        <w:t xml:space="preserve"> </w:t>
      </w:r>
      <w:r w:rsidRPr="008339B8">
        <w:rPr>
          <w:rFonts w:ascii="Palatino Linotype" w:hAnsi="Palatino Linotype"/>
          <w:sz w:val="20"/>
          <w:szCs w:val="20"/>
        </w:rPr>
        <w:t>En el caso de que se solicite algún programa informático para ser instalado en las aulas de informática gestionadas por el CSIRC, cuando el programa se instale por primera vez o sea de nueva versión, deberá consultarse previamente al CSIRC, para la supervisión, evaluación y prueba de dicho programa.</w:t>
      </w:r>
    </w:p>
    <w:p w14:paraId="57B2FC95" w14:textId="77777777" w:rsidR="000B6178" w:rsidRDefault="000B6178" w:rsidP="000B6178">
      <w:pPr>
        <w:pStyle w:val="Textonormal"/>
        <w:ind w:left="357"/>
        <w:rPr>
          <w:rFonts w:ascii="Palatino Linotype" w:hAnsi="Palatino Linotype"/>
          <w:sz w:val="20"/>
          <w:szCs w:val="20"/>
        </w:rPr>
      </w:pPr>
      <w:r w:rsidRPr="008339B8">
        <w:rPr>
          <w:rFonts w:ascii="Palatino Linotype" w:hAnsi="Palatino Linotype"/>
          <w:b/>
          <w:sz w:val="20"/>
          <w:szCs w:val="20"/>
        </w:rPr>
        <w:t>6.</w:t>
      </w:r>
      <w:r>
        <w:rPr>
          <w:rFonts w:ascii="Palatino Linotype" w:hAnsi="Palatino Linotype"/>
          <w:b/>
          <w:sz w:val="20"/>
          <w:szCs w:val="20"/>
        </w:rPr>
        <w:t>4</w:t>
      </w:r>
      <w:r w:rsidRPr="00EF5475">
        <w:rPr>
          <w:rFonts w:ascii="Palatino Linotype" w:hAnsi="Palatino Linotype"/>
          <w:sz w:val="20"/>
          <w:szCs w:val="20"/>
        </w:rPr>
        <w:tab/>
        <w:t>Las licencias que el Vicerrectorado de Transformación Digital va a adquirir, entre otras posibles, son las siguientes</w:t>
      </w:r>
      <w:r>
        <w:rPr>
          <w:rFonts w:ascii="Palatino Linotype" w:hAnsi="Palatino Linotype"/>
          <w:sz w:val="20"/>
          <w:szCs w:val="20"/>
        </w:rPr>
        <w:t>:</w:t>
      </w:r>
    </w:p>
    <w:p w14:paraId="0890D193" w14:textId="77777777" w:rsidR="000B6178" w:rsidRDefault="000B6178" w:rsidP="000B6178">
      <w:pPr>
        <w:pStyle w:val="Textonormal"/>
        <w:ind w:left="357"/>
        <w:rPr>
          <w:rFonts w:ascii="Palatino Linotype" w:hAnsi="Palatino Linotype"/>
          <w:sz w:val="20"/>
          <w:szCs w:val="20"/>
        </w:rPr>
      </w:pPr>
    </w:p>
    <w:tbl>
      <w:tblPr>
        <w:tblStyle w:val="Tablaconcuadrcula"/>
        <w:tblW w:w="0" w:type="auto"/>
        <w:tblInd w:w="595" w:type="dxa"/>
        <w:tblLook w:val="04A0" w:firstRow="1" w:lastRow="0" w:firstColumn="1" w:lastColumn="0" w:noHBand="0" w:noVBand="1"/>
      </w:tblPr>
      <w:tblGrid>
        <w:gridCol w:w="4152"/>
        <w:gridCol w:w="3747"/>
      </w:tblGrid>
      <w:tr w:rsidR="000B6178" w:rsidRPr="00EF5475" w14:paraId="08994D52" w14:textId="77777777" w:rsidTr="00090A93">
        <w:tc>
          <w:tcPr>
            <w:tcW w:w="4256" w:type="dxa"/>
          </w:tcPr>
          <w:p w14:paraId="36C4A807"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Microsoft 365 A3</w:t>
            </w:r>
          </w:p>
        </w:tc>
        <w:tc>
          <w:tcPr>
            <w:tcW w:w="3932" w:type="dxa"/>
          </w:tcPr>
          <w:p w14:paraId="316EF427"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color w:val="000000"/>
                <w:sz w:val="20"/>
                <w:szCs w:val="20"/>
              </w:rPr>
              <w:t xml:space="preserve">Otorga acceso a Office 365 escritorio, actualización de Windows, </w:t>
            </w:r>
            <w:proofErr w:type="spellStart"/>
            <w:r w:rsidRPr="00EF5475">
              <w:rPr>
                <w:rFonts w:ascii="Palatino Linotype" w:hAnsi="Palatino Linotype"/>
                <w:i/>
                <w:iCs/>
                <w:color w:val="000000"/>
                <w:sz w:val="20"/>
                <w:szCs w:val="20"/>
              </w:rPr>
              <w:t>Teams</w:t>
            </w:r>
            <w:proofErr w:type="spellEnd"/>
            <w:r w:rsidRPr="00EF5475">
              <w:rPr>
                <w:rFonts w:ascii="Palatino Linotype" w:hAnsi="Palatino Linotype"/>
                <w:i/>
                <w:iCs/>
                <w:color w:val="000000"/>
                <w:sz w:val="20"/>
                <w:szCs w:val="20"/>
              </w:rPr>
              <w:t>, OneDrive,</w:t>
            </w:r>
            <w:r w:rsidRPr="00EF5475">
              <w:rPr>
                <w:rFonts w:ascii="Palatino Linotype" w:hAnsi="Palatino Linotype"/>
                <w:color w:val="000000"/>
                <w:sz w:val="20"/>
                <w:szCs w:val="20"/>
              </w:rPr>
              <w:t xml:space="preserve"> etc.</w:t>
            </w:r>
          </w:p>
        </w:tc>
      </w:tr>
      <w:tr w:rsidR="000B6178" w:rsidRPr="00EF5475" w14:paraId="496F2231" w14:textId="77777777" w:rsidTr="00090A93">
        <w:tc>
          <w:tcPr>
            <w:tcW w:w="4256" w:type="dxa"/>
          </w:tcPr>
          <w:p w14:paraId="7C37EB66" w14:textId="77777777" w:rsidR="000B6178" w:rsidRPr="00EF5475" w:rsidRDefault="000B6178" w:rsidP="00090A93">
            <w:pPr>
              <w:jc w:val="both"/>
              <w:rPr>
                <w:rFonts w:ascii="Palatino Linotype" w:hAnsi="Palatino Linotype"/>
                <w:sz w:val="20"/>
                <w:szCs w:val="20"/>
                <w:lang w:val="en-US"/>
              </w:rPr>
            </w:pPr>
            <w:r w:rsidRPr="00EF5475">
              <w:rPr>
                <w:rFonts w:ascii="Palatino Linotype" w:hAnsi="Palatino Linotype"/>
                <w:sz w:val="20"/>
                <w:szCs w:val="20"/>
                <w:lang w:val="en-US"/>
              </w:rPr>
              <w:t>Google Workspace for Education Plus</w:t>
            </w:r>
          </w:p>
        </w:tc>
        <w:tc>
          <w:tcPr>
            <w:tcW w:w="3932" w:type="dxa"/>
          </w:tcPr>
          <w:p w14:paraId="084E9322"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color w:val="000000"/>
                <w:sz w:val="20"/>
                <w:szCs w:val="20"/>
              </w:rPr>
              <w:t xml:space="preserve">Suite de Google para el dominio @go.ugr.es. Incluye </w:t>
            </w:r>
            <w:r w:rsidRPr="00EF5475">
              <w:rPr>
                <w:rFonts w:ascii="Palatino Linotype" w:hAnsi="Palatino Linotype"/>
                <w:i/>
                <w:iCs/>
                <w:color w:val="000000"/>
                <w:sz w:val="20"/>
                <w:szCs w:val="20"/>
              </w:rPr>
              <w:t xml:space="preserve">Drive, </w:t>
            </w:r>
            <w:proofErr w:type="spellStart"/>
            <w:r w:rsidRPr="00EF5475">
              <w:rPr>
                <w:rFonts w:ascii="Palatino Linotype" w:hAnsi="Palatino Linotype"/>
                <w:i/>
                <w:iCs/>
                <w:color w:val="000000"/>
                <w:sz w:val="20"/>
                <w:szCs w:val="20"/>
              </w:rPr>
              <w:t>Meet</w:t>
            </w:r>
            <w:proofErr w:type="spellEnd"/>
            <w:r w:rsidRPr="00EF5475">
              <w:rPr>
                <w:rFonts w:ascii="Palatino Linotype" w:hAnsi="Palatino Linotype"/>
                <w:i/>
                <w:iCs/>
                <w:color w:val="000000"/>
                <w:sz w:val="20"/>
                <w:szCs w:val="20"/>
              </w:rPr>
              <w:t>, Gmail</w:t>
            </w:r>
            <w:r w:rsidRPr="00EF5475">
              <w:rPr>
                <w:rFonts w:ascii="Palatino Linotype" w:hAnsi="Palatino Linotype"/>
                <w:color w:val="000000"/>
                <w:sz w:val="20"/>
                <w:szCs w:val="20"/>
              </w:rPr>
              <w:t>, etc.</w:t>
            </w:r>
          </w:p>
        </w:tc>
      </w:tr>
      <w:tr w:rsidR="000B6178" w:rsidRPr="00EF5475" w14:paraId="1D9D4CBB" w14:textId="77777777" w:rsidTr="00090A93">
        <w:tc>
          <w:tcPr>
            <w:tcW w:w="4256" w:type="dxa"/>
          </w:tcPr>
          <w:p w14:paraId="477F9D66" w14:textId="77777777" w:rsidR="000B6178" w:rsidRPr="00EF5475" w:rsidRDefault="000B6178" w:rsidP="00090A93">
            <w:pPr>
              <w:jc w:val="both"/>
              <w:rPr>
                <w:rFonts w:ascii="Palatino Linotype" w:hAnsi="Palatino Linotype"/>
                <w:sz w:val="20"/>
                <w:szCs w:val="20"/>
                <w:lang w:val="en-US"/>
              </w:rPr>
            </w:pPr>
            <w:r w:rsidRPr="00EF5475">
              <w:rPr>
                <w:rFonts w:ascii="Palatino Linotype" w:hAnsi="Palatino Linotype"/>
                <w:sz w:val="20"/>
                <w:szCs w:val="20"/>
                <w:lang w:val="en-US"/>
              </w:rPr>
              <w:t>SPSS</w:t>
            </w:r>
          </w:p>
        </w:tc>
        <w:tc>
          <w:tcPr>
            <w:tcW w:w="3932" w:type="dxa"/>
          </w:tcPr>
          <w:p w14:paraId="05C6259B" w14:textId="77777777" w:rsidR="000B6178" w:rsidRPr="00EF5475" w:rsidRDefault="000B6178" w:rsidP="00090A93">
            <w:pPr>
              <w:jc w:val="both"/>
              <w:rPr>
                <w:rFonts w:ascii="Palatino Linotype" w:hAnsi="Palatino Linotype"/>
                <w:color w:val="000000"/>
                <w:sz w:val="20"/>
                <w:szCs w:val="20"/>
              </w:rPr>
            </w:pPr>
            <w:r w:rsidRPr="00EF5475">
              <w:rPr>
                <w:rFonts w:ascii="Palatino Linotype" w:hAnsi="Palatino Linotype"/>
                <w:color w:val="000000"/>
                <w:sz w:val="20"/>
                <w:szCs w:val="20"/>
              </w:rPr>
              <w:t>Suite estadística</w:t>
            </w:r>
          </w:p>
        </w:tc>
      </w:tr>
      <w:tr w:rsidR="000B6178" w:rsidRPr="00EF5475" w14:paraId="4D209CA9" w14:textId="77777777" w:rsidTr="00090A93">
        <w:tc>
          <w:tcPr>
            <w:tcW w:w="4256" w:type="dxa"/>
          </w:tcPr>
          <w:p w14:paraId="369555DC"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ArcGIS</w:t>
            </w:r>
          </w:p>
        </w:tc>
        <w:tc>
          <w:tcPr>
            <w:tcW w:w="3932" w:type="dxa"/>
          </w:tcPr>
          <w:p w14:paraId="1A0BAE0B"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i/>
                <w:iCs/>
                <w:sz w:val="20"/>
                <w:szCs w:val="20"/>
              </w:rPr>
              <w:t>Software</w:t>
            </w:r>
            <w:r w:rsidRPr="00EF5475">
              <w:rPr>
                <w:rFonts w:ascii="Palatino Linotype" w:hAnsi="Palatino Linotype"/>
                <w:sz w:val="20"/>
                <w:szCs w:val="20"/>
              </w:rPr>
              <w:t xml:space="preserve"> para el campo de los Sistemas de Información Geográfica o SIG. Agrupa varias aplicaciones para la captura, edición, análisis, tratamiento, diseño, publicación e impresión de información geográfica, etc.</w:t>
            </w:r>
          </w:p>
        </w:tc>
      </w:tr>
      <w:tr w:rsidR="000B6178" w:rsidRPr="00EF5475" w14:paraId="7918B4B9" w14:textId="77777777" w:rsidTr="00090A93">
        <w:tc>
          <w:tcPr>
            <w:tcW w:w="4256" w:type="dxa"/>
          </w:tcPr>
          <w:p w14:paraId="7726CFDD"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 xml:space="preserve">Software </w:t>
            </w:r>
            <w:proofErr w:type="spellStart"/>
            <w:r w:rsidRPr="00EF5475">
              <w:rPr>
                <w:rFonts w:ascii="Palatino Linotype" w:hAnsi="Palatino Linotype"/>
                <w:sz w:val="20"/>
                <w:szCs w:val="20"/>
              </w:rPr>
              <w:t>AppsAnywhere</w:t>
            </w:r>
            <w:proofErr w:type="spellEnd"/>
            <w:r w:rsidRPr="00EF5475">
              <w:rPr>
                <w:rFonts w:ascii="Palatino Linotype" w:hAnsi="Palatino Linotype"/>
                <w:sz w:val="20"/>
                <w:szCs w:val="20"/>
              </w:rPr>
              <w:t>/</w:t>
            </w:r>
            <w:proofErr w:type="spellStart"/>
            <w:r w:rsidRPr="00EF5475">
              <w:rPr>
                <w:rFonts w:ascii="Palatino Linotype" w:hAnsi="Palatino Linotype"/>
                <w:sz w:val="20"/>
                <w:szCs w:val="20"/>
              </w:rPr>
              <w:t>Cloudpaging</w:t>
            </w:r>
            <w:proofErr w:type="spellEnd"/>
          </w:p>
        </w:tc>
        <w:tc>
          <w:tcPr>
            <w:tcW w:w="3932" w:type="dxa"/>
          </w:tcPr>
          <w:p w14:paraId="270154A3" w14:textId="77777777" w:rsidR="000B6178" w:rsidRPr="00EF5475" w:rsidRDefault="000B6178" w:rsidP="00090A93">
            <w:pPr>
              <w:jc w:val="both"/>
              <w:rPr>
                <w:rFonts w:ascii="Palatino Linotype" w:hAnsi="Palatino Linotype"/>
                <w:sz w:val="20"/>
                <w:szCs w:val="20"/>
              </w:rPr>
            </w:pPr>
            <w:proofErr w:type="spellStart"/>
            <w:r w:rsidRPr="00EF5475">
              <w:rPr>
                <w:rFonts w:ascii="Palatino Linotype" w:hAnsi="Palatino Linotype"/>
                <w:sz w:val="20"/>
                <w:szCs w:val="20"/>
              </w:rPr>
              <w:t>Paquetización</w:t>
            </w:r>
            <w:proofErr w:type="spellEnd"/>
            <w:r w:rsidRPr="00EF5475">
              <w:rPr>
                <w:rFonts w:ascii="Palatino Linotype" w:hAnsi="Palatino Linotype"/>
                <w:sz w:val="20"/>
                <w:szCs w:val="20"/>
              </w:rPr>
              <w:t xml:space="preserve"> y distribución de aplicaciones </w:t>
            </w:r>
            <w:r w:rsidRPr="00EF5475">
              <w:rPr>
                <w:rFonts w:ascii="Palatino Linotype" w:hAnsi="Palatino Linotype"/>
                <w:i/>
                <w:iCs/>
                <w:sz w:val="20"/>
                <w:szCs w:val="20"/>
              </w:rPr>
              <w:t>Windows</w:t>
            </w:r>
            <w:r w:rsidRPr="00EF5475">
              <w:rPr>
                <w:rFonts w:ascii="Palatino Linotype" w:hAnsi="Palatino Linotype"/>
                <w:sz w:val="20"/>
                <w:szCs w:val="20"/>
              </w:rPr>
              <w:t>. Permite el uso de aplicaciones de docencia sin instalación en ordenadores de aulas, aulas virtuales o propios (mediante VPN).</w:t>
            </w:r>
          </w:p>
        </w:tc>
      </w:tr>
      <w:tr w:rsidR="000B6178" w:rsidRPr="00EF5475" w14:paraId="4000C673" w14:textId="77777777" w:rsidTr="00090A93">
        <w:tc>
          <w:tcPr>
            <w:tcW w:w="4256" w:type="dxa"/>
          </w:tcPr>
          <w:p w14:paraId="43DA104C"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Matlab</w:t>
            </w:r>
          </w:p>
        </w:tc>
        <w:tc>
          <w:tcPr>
            <w:tcW w:w="3932" w:type="dxa"/>
          </w:tcPr>
          <w:p w14:paraId="1FB00D73"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Plataforma de programación y cálculo numérico, utilizada para analizar datos, desarrollar algoritmos y crear modelos.</w:t>
            </w:r>
          </w:p>
        </w:tc>
      </w:tr>
      <w:tr w:rsidR="000B6178" w:rsidRPr="00EF5475" w14:paraId="04588E97" w14:textId="77777777" w:rsidTr="00090A93">
        <w:tc>
          <w:tcPr>
            <w:tcW w:w="4256" w:type="dxa"/>
          </w:tcPr>
          <w:p w14:paraId="78CA032A" w14:textId="77777777" w:rsidR="000B6178" w:rsidRPr="00EF5475" w:rsidRDefault="000B6178" w:rsidP="00090A93">
            <w:pPr>
              <w:jc w:val="both"/>
              <w:rPr>
                <w:rFonts w:ascii="Palatino Linotype" w:hAnsi="Palatino Linotype"/>
                <w:sz w:val="20"/>
                <w:szCs w:val="20"/>
              </w:rPr>
            </w:pPr>
            <w:proofErr w:type="spellStart"/>
            <w:r w:rsidRPr="00EF5475">
              <w:rPr>
                <w:rFonts w:ascii="Palatino Linotype" w:hAnsi="Palatino Linotype"/>
                <w:sz w:val="20"/>
                <w:szCs w:val="20"/>
              </w:rPr>
              <w:t>Kaltura</w:t>
            </w:r>
            <w:proofErr w:type="spellEnd"/>
          </w:p>
        </w:tc>
        <w:tc>
          <w:tcPr>
            <w:tcW w:w="3932" w:type="dxa"/>
          </w:tcPr>
          <w:p w14:paraId="78E856D8"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i/>
                <w:iCs/>
                <w:sz w:val="20"/>
                <w:szCs w:val="20"/>
              </w:rPr>
              <w:t>Software</w:t>
            </w:r>
            <w:r w:rsidRPr="00EF5475">
              <w:rPr>
                <w:rFonts w:ascii="Palatino Linotype" w:hAnsi="Palatino Linotype"/>
                <w:sz w:val="20"/>
                <w:szCs w:val="20"/>
              </w:rPr>
              <w:t xml:space="preserve"> de grabación y edición de videos docentes integrado en PRADO.</w:t>
            </w:r>
          </w:p>
        </w:tc>
      </w:tr>
      <w:tr w:rsidR="000B6178" w:rsidRPr="00EF5475" w14:paraId="5A4E2EBB" w14:textId="77777777" w:rsidTr="00090A93">
        <w:tc>
          <w:tcPr>
            <w:tcW w:w="4256" w:type="dxa"/>
          </w:tcPr>
          <w:p w14:paraId="5462DC8B"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Moodle (Software Libre) (gestión por usuario y año)</w:t>
            </w:r>
          </w:p>
        </w:tc>
        <w:tc>
          <w:tcPr>
            <w:tcW w:w="3932" w:type="dxa"/>
          </w:tcPr>
          <w:p w14:paraId="6FB3A858" w14:textId="77777777" w:rsidR="000B6178" w:rsidRPr="00EF5475" w:rsidRDefault="000B6178" w:rsidP="00090A93">
            <w:pPr>
              <w:jc w:val="both"/>
              <w:rPr>
                <w:rFonts w:ascii="Palatino Linotype" w:hAnsi="Palatino Linotype"/>
                <w:sz w:val="20"/>
                <w:szCs w:val="20"/>
              </w:rPr>
            </w:pPr>
            <w:r w:rsidRPr="00EF5475">
              <w:rPr>
                <w:rFonts w:ascii="Palatino Linotype" w:hAnsi="Palatino Linotype"/>
                <w:sz w:val="20"/>
                <w:szCs w:val="20"/>
              </w:rPr>
              <w:t xml:space="preserve">Plataformas de gestión de docencia PRADO (Grado y posgrado), </w:t>
            </w:r>
            <w:proofErr w:type="spellStart"/>
            <w:r w:rsidRPr="00EF5475">
              <w:rPr>
                <w:rFonts w:ascii="Palatino Linotype" w:hAnsi="Palatino Linotype"/>
                <w:sz w:val="20"/>
                <w:szCs w:val="20"/>
              </w:rPr>
              <w:t>eCampus</w:t>
            </w:r>
            <w:proofErr w:type="spellEnd"/>
            <w:r w:rsidRPr="00EF5475">
              <w:rPr>
                <w:rFonts w:ascii="Palatino Linotype" w:hAnsi="Palatino Linotype"/>
                <w:sz w:val="20"/>
                <w:szCs w:val="20"/>
              </w:rPr>
              <w:t xml:space="preserve"> (Cursos), </w:t>
            </w:r>
            <w:proofErr w:type="spellStart"/>
            <w:r w:rsidRPr="00EF5475">
              <w:rPr>
                <w:rFonts w:ascii="Palatino Linotype" w:hAnsi="Palatino Linotype"/>
                <w:sz w:val="20"/>
                <w:szCs w:val="20"/>
              </w:rPr>
              <w:t>AbiertaUGR</w:t>
            </w:r>
            <w:proofErr w:type="spellEnd"/>
            <w:r w:rsidRPr="00EF5475">
              <w:rPr>
                <w:rFonts w:ascii="Palatino Linotype" w:hAnsi="Palatino Linotype"/>
                <w:sz w:val="20"/>
                <w:szCs w:val="20"/>
              </w:rPr>
              <w:t xml:space="preserve"> (</w:t>
            </w:r>
            <w:proofErr w:type="spellStart"/>
            <w:r w:rsidRPr="00EF5475">
              <w:rPr>
                <w:rFonts w:ascii="Palatino Linotype" w:hAnsi="Palatino Linotype"/>
                <w:sz w:val="20"/>
                <w:szCs w:val="20"/>
              </w:rPr>
              <w:t>MOOCs</w:t>
            </w:r>
            <w:proofErr w:type="spellEnd"/>
            <w:r w:rsidRPr="00EF5475">
              <w:rPr>
                <w:rFonts w:ascii="Palatino Linotype" w:hAnsi="Palatino Linotype"/>
                <w:sz w:val="20"/>
                <w:szCs w:val="20"/>
              </w:rPr>
              <w:t xml:space="preserve">). El coste, al ser </w:t>
            </w:r>
            <w:r w:rsidRPr="00EF5475">
              <w:rPr>
                <w:rFonts w:ascii="Palatino Linotype" w:hAnsi="Palatino Linotype"/>
                <w:i/>
                <w:iCs/>
                <w:sz w:val="20"/>
                <w:szCs w:val="20"/>
              </w:rPr>
              <w:t>software</w:t>
            </w:r>
            <w:r w:rsidRPr="00EF5475">
              <w:rPr>
                <w:rFonts w:ascii="Palatino Linotype" w:hAnsi="Palatino Linotype"/>
                <w:sz w:val="20"/>
                <w:szCs w:val="20"/>
              </w:rPr>
              <w:t xml:space="preserve"> libre y gestionado por la propia UGR, se ha estimado sobre la base de precio comercial Moodle de 3€/usuario y año.</w:t>
            </w:r>
          </w:p>
        </w:tc>
      </w:tr>
    </w:tbl>
    <w:p w14:paraId="04639208" w14:textId="77777777" w:rsidR="000B6178" w:rsidRDefault="000B6178" w:rsidP="000B6178">
      <w:pPr>
        <w:pStyle w:val="Textonormal"/>
        <w:ind w:left="357"/>
        <w:rPr>
          <w:rFonts w:ascii="Palatino Linotype" w:hAnsi="Palatino Linotype"/>
          <w:sz w:val="20"/>
          <w:szCs w:val="20"/>
        </w:rPr>
      </w:pPr>
      <w:r w:rsidRPr="008339B8">
        <w:rPr>
          <w:rFonts w:ascii="Palatino Linotype" w:hAnsi="Palatino Linotype"/>
          <w:b/>
          <w:sz w:val="20"/>
          <w:szCs w:val="20"/>
        </w:rPr>
        <w:t>6.</w:t>
      </w:r>
      <w:r>
        <w:rPr>
          <w:rFonts w:ascii="Palatino Linotype" w:hAnsi="Palatino Linotype"/>
          <w:b/>
          <w:sz w:val="20"/>
          <w:szCs w:val="20"/>
        </w:rPr>
        <w:t>5</w:t>
      </w:r>
      <w:r>
        <w:rPr>
          <w:rFonts w:ascii="Palatino Linotype" w:hAnsi="Palatino Linotype"/>
          <w:sz w:val="20"/>
          <w:szCs w:val="20"/>
        </w:rPr>
        <w:t xml:space="preserve"> </w:t>
      </w:r>
      <w:r w:rsidRPr="00EF5475">
        <w:rPr>
          <w:rFonts w:ascii="Palatino Linotype" w:hAnsi="Palatino Linotype"/>
          <w:sz w:val="20"/>
          <w:szCs w:val="20"/>
        </w:rPr>
        <w:t>Conceptos EXCLUIDOS: Quedan excluidos de financiación por este programa los siguientes conceptos:</w:t>
      </w:r>
    </w:p>
    <w:p w14:paraId="7AE5E511"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Fotocopiadoras</w:t>
      </w:r>
    </w:p>
    <w:p w14:paraId="6091A4CD"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Fotocopias</w:t>
      </w:r>
    </w:p>
    <w:p w14:paraId="4E6C2E67"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lastRenderedPageBreak/>
        <w:t>Gastos de edición y publicación</w:t>
      </w:r>
    </w:p>
    <w:p w14:paraId="273D0EC5"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Material de oficina</w:t>
      </w:r>
    </w:p>
    <w:p w14:paraId="6C6C5DE0"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Mobiliario</w:t>
      </w:r>
    </w:p>
    <w:p w14:paraId="145A5110"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Obras</w:t>
      </w:r>
    </w:p>
    <w:p w14:paraId="67E4A1DC"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Adquisición de fondos bibliográficos y software que no sean de uso exclusivo de los estudiantes en las prácticas correspondientes o que puedan ser adquiridos de forma general por las bibliotecas de los diferentes Centros</w:t>
      </w:r>
    </w:p>
    <w:p w14:paraId="492266F6"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Dietas y viajes de profesorado</w:t>
      </w:r>
    </w:p>
    <w:p w14:paraId="47D4D6BD"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Dietas y viajes de invitados/as</w:t>
      </w:r>
    </w:p>
    <w:p w14:paraId="4B3EF5AA"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Honorarios y conferencias de visitantes</w:t>
      </w:r>
    </w:p>
    <w:p w14:paraId="49634EE7" w14:textId="77777777" w:rsidR="000B6178" w:rsidRPr="00EF5475" w:rsidRDefault="000B6178" w:rsidP="000B6178">
      <w:pPr>
        <w:pStyle w:val="Prrafodelista"/>
        <w:numPr>
          <w:ilvl w:val="0"/>
          <w:numId w:val="1"/>
        </w:numPr>
        <w:spacing w:before="120" w:after="120" w:line="320" w:lineRule="exact"/>
        <w:ind w:left="993"/>
        <w:jc w:val="both"/>
        <w:rPr>
          <w:rFonts w:ascii="Palatino Linotype" w:hAnsi="Palatino Linotype"/>
          <w:sz w:val="20"/>
          <w:szCs w:val="20"/>
        </w:rPr>
      </w:pPr>
      <w:r w:rsidRPr="00EF5475">
        <w:rPr>
          <w:rFonts w:ascii="Palatino Linotype" w:hAnsi="Palatino Linotype"/>
          <w:sz w:val="20"/>
          <w:szCs w:val="20"/>
        </w:rPr>
        <w:t>Facturas de alojamiento y manutención</w:t>
      </w:r>
    </w:p>
    <w:p w14:paraId="4AA89B2E" w14:textId="6FC48700" w:rsidR="000B6178" w:rsidRPr="000B6178" w:rsidRDefault="000B6178" w:rsidP="00B67954">
      <w:pPr>
        <w:pStyle w:val="Prrafodelista"/>
        <w:numPr>
          <w:ilvl w:val="0"/>
          <w:numId w:val="1"/>
        </w:numPr>
        <w:spacing w:before="120" w:after="120" w:line="320" w:lineRule="exact"/>
        <w:ind w:left="993"/>
        <w:jc w:val="both"/>
        <w:rPr>
          <w:rFonts w:ascii="Palatino Linotype" w:hAnsi="Palatino Linotype"/>
          <w:sz w:val="20"/>
          <w:szCs w:val="20"/>
        </w:rPr>
      </w:pPr>
      <w:r w:rsidRPr="000B6178">
        <w:rPr>
          <w:rFonts w:ascii="Palatino Linotype" w:hAnsi="Palatino Linotype"/>
          <w:sz w:val="20"/>
          <w:szCs w:val="20"/>
        </w:rPr>
        <w:t>Facturas de organización de reuniones, jornadas, congresos o eventos similares</w:t>
      </w:r>
    </w:p>
    <w:p w14:paraId="41561591" w14:textId="77777777" w:rsidR="000B6178" w:rsidRDefault="000B6178" w:rsidP="000B6178">
      <w:pPr>
        <w:pStyle w:val="Textonormal"/>
        <w:ind w:left="357"/>
        <w:rPr>
          <w:rFonts w:ascii="Palatino Linotype" w:hAnsi="Palatino Linotype"/>
          <w:sz w:val="20"/>
          <w:szCs w:val="20"/>
        </w:rPr>
      </w:pPr>
    </w:p>
    <w:p w14:paraId="1E863E0F" w14:textId="77777777" w:rsidR="000B6178" w:rsidRDefault="000B6178" w:rsidP="000B6178">
      <w:pPr>
        <w:pStyle w:val="Textonormal"/>
        <w:ind w:left="357"/>
        <w:rPr>
          <w:rFonts w:ascii="Palatino Linotype" w:hAnsi="Palatino Linotype"/>
          <w:sz w:val="20"/>
          <w:szCs w:val="20"/>
        </w:rPr>
      </w:pPr>
    </w:p>
    <w:p w14:paraId="1F078BE2" w14:textId="77777777" w:rsidR="000B6178" w:rsidRDefault="000B6178" w:rsidP="000B6178">
      <w:pPr>
        <w:pStyle w:val="Textonormal"/>
        <w:ind w:left="357"/>
        <w:rPr>
          <w:rFonts w:ascii="Palatino Linotype" w:hAnsi="Palatino Linotype"/>
          <w:sz w:val="20"/>
          <w:szCs w:val="20"/>
        </w:rPr>
      </w:pPr>
    </w:p>
    <w:p w14:paraId="7F8E2D0C" w14:textId="77777777" w:rsidR="000B6178" w:rsidRDefault="000B6178" w:rsidP="000B6178">
      <w:pPr>
        <w:pStyle w:val="Textonormal"/>
        <w:ind w:left="357"/>
        <w:rPr>
          <w:rFonts w:ascii="Palatino Linotype" w:hAnsi="Palatino Linotype"/>
          <w:sz w:val="20"/>
          <w:szCs w:val="20"/>
        </w:rPr>
      </w:pPr>
    </w:p>
    <w:p w14:paraId="0C631E4C" w14:textId="77777777" w:rsidR="000B6178" w:rsidRDefault="000B6178" w:rsidP="000B6178">
      <w:pPr>
        <w:pStyle w:val="Textonormal"/>
        <w:ind w:left="357"/>
        <w:rPr>
          <w:rFonts w:ascii="Palatino Linotype" w:hAnsi="Palatino Linotype"/>
          <w:sz w:val="20"/>
          <w:szCs w:val="20"/>
        </w:rPr>
      </w:pPr>
    </w:p>
    <w:p w14:paraId="518E03AE" w14:textId="77777777" w:rsidR="000B6178" w:rsidRDefault="000B6178" w:rsidP="000B6178">
      <w:pPr>
        <w:pStyle w:val="Textonormal"/>
        <w:ind w:left="357"/>
        <w:rPr>
          <w:rFonts w:ascii="Palatino Linotype" w:hAnsi="Palatino Linotype"/>
          <w:sz w:val="20"/>
          <w:szCs w:val="20"/>
        </w:rPr>
      </w:pPr>
    </w:p>
    <w:p w14:paraId="502FFB48" w14:textId="77777777" w:rsidR="000B6178" w:rsidRDefault="000B6178" w:rsidP="000B6178">
      <w:pPr>
        <w:pStyle w:val="Textonormal"/>
        <w:ind w:left="357"/>
        <w:rPr>
          <w:rFonts w:ascii="Palatino Linotype" w:hAnsi="Palatino Linotype"/>
          <w:sz w:val="20"/>
          <w:szCs w:val="20"/>
        </w:rPr>
      </w:pPr>
    </w:p>
    <w:p w14:paraId="5BC7E786" w14:textId="77777777" w:rsidR="000B6178" w:rsidRDefault="000B6178" w:rsidP="000B6178">
      <w:pPr>
        <w:pStyle w:val="Textonormal"/>
        <w:ind w:left="357"/>
        <w:rPr>
          <w:rFonts w:ascii="Palatino Linotype" w:hAnsi="Palatino Linotype"/>
          <w:sz w:val="20"/>
          <w:szCs w:val="20"/>
        </w:rPr>
      </w:pPr>
    </w:p>
    <w:p w14:paraId="1F09EEE0" w14:textId="77777777" w:rsidR="000B6178" w:rsidRDefault="000B6178" w:rsidP="000B6178">
      <w:pPr>
        <w:pStyle w:val="Textonormal"/>
        <w:ind w:left="357"/>
        <w:rPr>
          <w:rFonts w:ascii="Palatino Linotype" w:hAnsi="Palatino Linotype"/>
          <w:sz w:val="20"/>
          <w:szCs w:val="20"/>
        </w:rPr>
      </w:pPr>
    </w:p>
    <w:p w14:paraId="5B1DD021" w14:textId="77777777" w:rsidR="000B6178" w:rsidRDefault="000B6178" w:rsidP="000B6178">
      <w:pPr>
        <w:pStyle w:val="Textonormal"/>
        <w:ind w:left="357"/>
        <w:rPr>
          <w:rFonts w:ascii="Palatino Linotype" w:hAnsi="Palatino Linotype"/>
          <w:sz w:val="20"/>
          <w:szCs w:val="20"/>
        </w:rPr>
      </w:pPr>
    </w:p>
    <w:p w14:paraId="21C66A24" w14:textId="77777777" w:rsidR="000B6178" w:rsidRDefault="000B6178" w:rsidP="000B6178">
      <w:pPr>
        <w:pStyle w:val="Textonormal"/>
        <w:ind w:left="357"/>
        <w:rPr>
          <w:rFonts w:ascii="Palatino Linotype" w:hAnsi="Palatino Linotype"/>
          <w:sz w:val="20"/>
          <w:szCs w:val="20"/>
        </w:rPr>
      </w:pPr>
    </w:p>
    <w:p w14:paraId="53E2ACFC" w14:textId="77777777" w:rsidR="000B6178" w:rsidRDefault="000B6178" w:rsidP="000B6178">
      <w:pPr>
        <w:pStyle w:val="Textonormal"/>
        <w:ind w:left="357"/>
        <w:rPr>
          <w:rFonts w:ascii="Palatino Linotype" w:hAnsi="Palatino Linotype"/>
          <w:sz w:val="20"/>
          <w:szCs w:val="20"/>
        </w:rPr>
      </w:pPr>
    </w:p>
    <w:p w14:paraId="3A132B72" w14:textId="77777777" w:rsidR="000B6178" w:rsidRDefault="000B6178" w:rsidP="000B6178">
      <w:pPr>
        <w:pStyle w:val="Textonormal"/>
        <w:rPr>
          <w:rFonts w:ascii="Palatino Linotype" w:hAnsi="Palatino Linotype"/>
          <w:sz w:val="20"/>
          <w:szCs w:val="20"/>
        </w:rPr>
      </w:pPr>
    </w:p>
    <w:p w14:paraId="58DCC5B0" w14:textId="77777777" w:rsidR="008E3F7E" w:rsidRDefault="00905C38"/>
    <w:sectPr w:rsidR="008E3F7E" w:rsidSect="000B6178">
      <w:headerReference w:type="default" r:id="rId7"/>
      <w:pgSz w:w="11906" w:h="16838"/>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91992" w14:textId="77777777" w:rsidR="000B6178" w:rsidRDefault="000B6178" w:rsidP="000B6178">
      <w:r>
        <w:separator/>
      </w:r>
    </w:p>
  </w:endnote>
  <w:endnote w:type="continuationSeparator" w:id="0">
    <w:p w14:paraId="629001A2" w14:textId="77777777" w:rsidR="000B6178" w:rsidRDefault="000B6178" w:rsidP="000B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E261C" w14:textId="77777777" w:rsidR="000B6178" w:rsidRDefault="000B6178" w:rsidP="000B6178">
      <w:r>
        <w:separator/>
      </w:r>
    </w:p>
  </w:footnote>
  <w:footnote w:type="continuationSeparator" w:id="0">
    <w:p w14:paraId="4EF10097" w14:textId="77777777" w:rsidR="000B6178" w:rsidRDefault="000B6178" w:rsidP="000B6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24CB" w14:textId="79896E31" w:rsidR="000B6178" w:rsidRDefault="000B6178" w:rsidP="000B6178">
    <w:pPr>
      <w:pStyle w:val="Encabezado"/>
      <w:jc w:val="center"/>
    </w:pPr>
    <w:r>
      <w:rPr>
        <w:rFonts w:ascii="Gill Sans MT" w:hAnsi="Gill Sans MT"/>
        <w:b/>
        <w:noProof/>
        <w:sz w:val="20"/>
        <w:szCs w:val="20"/>
      </w:rPr>
      <w:drawing>
        <wp:inline distT="0" distB="0" distL="0" distR="0" wp14:anchorId="28553820" wp14:editId="583FD5C1">
          <wp:extent cx="1390650" cy="1390650"/>
          <wp:effectExtent l="0" t="0" r="0" b="0"/>
          <wp:docPr id="1" name="0 Imagen" title="logo UGR vertical sin grad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619B"/>
    <w:multiLevelType w:val="hybridMultilevel"/>
    <w:tmpl w:val="80084DCC"/>
    <w:lvl w:ilvl="0" w:tplc="B082F55C">
      <w:start w:val="6"/>
      <w:numFmt w:val="decimal"/>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B87B69"/>
    <w:multiLevelType w:val="hybridMultilevel"/>
    <w:tmpl w:val="6162665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75A20D20"/>
    <w:multiLevelType w:val="hybridMultilevel"/>
    <w:tmpl w:val="D33AED06"/>
    <w:lvl w:ilvl="0" w:tplc="B41048EC">
      <w:start w:val="1"/>
      <w:numFmt w:val="bullet"/>
      <w:lvlText w:val=""/>
      <w:lvlJc w:val="left"/>
      <w:pPr>
        <w:ind w:left="720" w:hanging="360"/>
      </w:pPr>
      <w:rPr>
        <w:rFonts w:ascii="Symbol" w:hAnsi="Symbol" w:hint="default"/>
        <w:color w:val="auto"/>
        <w:sz w:val="20"/>
        <w:szCs w:val="20"/>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F1"/>
    <w:rsid w:val="000B6178"/>
    <w:rsid w:val="004E0177"/>
    <w:rsid w:val="004F2D69"/>
    <w:rsid w:val="005245EE"/>
    <w:rsid w:val="00905C38"/>
    <w:rsid w:val="00980CF1"/>
    <w:rsid w:val="00AE3048"/>
    <w:rsid w:val="00B67954"/>
    <w:rsid w:val="00EA7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4E7E"/>
  <w15:chartTrackingRefBased/>
  <w15:docId w15:val="{EBAB784A-02CD-458F-8D0A-1435925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1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6178"/>
    <w:pPr>
      <w:ind w:left="720"/>
      <w:contextualSpacing/>
    </w:pPr>
  </w:style>
  <w:style w:type="paragraph" w:customStyle="1" w:styleId="Textonormal">
    <w:name w:val="Texto normal"/>
    <w:basedOn w:val="Normal"/>
    <w:uiPriority w:val="99"/>
    <w:rsid w:val="000B6178"/>
    <w:pPr>
      <w:spacing w:before="240" w:after="120"/>
      <w:jc w:val="both"/>
    </w:pPr>
    <w:rPr>
      <w:rFonts w:ascii="Roboto" w:hAnsi="Roboto"/>
      <w:sz w:val="22"/>
    </w:rPr>
  </w:style>
  <w:style w:type="table" w:styleId="Tablaconcuadrcula">
    <w:name w:val="Table Grid"/>
    <w:basedOn w:val="Tablanormal"/>
    <w:uiPriority w:val="59"/>
    <w:rsid w:val="000B617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6178"/>
    <w:pPr>
      <w:tabs>
        <w:tab w:val="center" w:pos="4252"/>
        <w:tab w:val="right" w:pos="8504"/>
      </w:tabs>
    </w:pPr>
  </w:style>
  <w:style w:type="character" w:customStyle="1" w:styleId="EncabezadoCar">
    <w:name w:val="Encabezado Car"/>
    <w:basedOn w:val="Fuentedeprrafopredeter"/>
    <w:link w:val="Encabezado"/>
    <w:uiPriority w:val="99"/>
    <w:rsid w:val="000B61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6178"/>
    <w:pPr>
      <w:tabs>
        <w:tab w:val="center" w:pos="4252"/>
        <w:tab w:val="right" w:pos="8504"/>
      </w:tabs>
    </w:pPr>
  </w:style>
  <w:style w:type="character" w:customStyle="1" w:styleId="PiedepginaCar">
    <w:name w:val="Pie de página Car"/>
    <w:basedOn w:val="Fuentedeprrafopredeter"/>
    <w:link w:val="Piedepgina"/>
    <w:uiPriority w:val="99"/>
    <w:rsid w:val="000B617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3494</Characters>
  <Application>Microsoft Office Word</Application>
  <DocSecurity>0</DocSecurity>
  <Lines>29</Lines>
  <Paragraphs>8</Paragraphs>
  <ScaleCrop>false</ScaleCrop>
  <Company>Universidad de Granada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SERGIO_NAVARRA_GERVILLA</dc:creator>
  <cp:keywords/>
  <dc:description/>
  <cp:lastModifiedBy>SERGIO_NAVARRA_GERVILLA</cp:lastModifiedBy>
  <cp:revision>6</cp:revision>
  <dcterms:created xsi:type="dcterms:W3CDTF">2025-03-12T07:06:00Z</dcterms:created>
  <dcterms:modified xsi:type="dcterms:W3CDTF">2025-03-12T07:32:00Z</dcterms:modified>
</cp:coreProperties>
</file>