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F3F" w:rsidRPr="00F30C54" w:rsidRDefault="00E74F3F" w:rsidP="00E74F3F">
      <w:pPr>
        <w:spacing w:after="200" w:line="276" w:lineRule="auto"/>
        <w:jc w:val="center"/>
        <w:rPr>
          <w:rFonts w:ascii="Palatino Linotype" w:hAnsi="Palatino Linotype"/>
          <w:b/>
          <w:i/>
          <w:sz w:val="20"/>
          <w:szCs w:val="20"/>
          <w:u w:val="single"/>
        </w:rPr>
      </w:pPr>
      <w:bookmarkStart w:id="0" w:name="_GoBack"/>
      <w:bookmarkEnd w:id="0"/>
      <w:r w:rsidRPr="00F30C54">
        <w:rPr>
          <w:rFonts w:ascii="Palatino Linotype" w:hAnsi="Palatino Linotype"/>
          <w:b/>
          <w:i/>
          <w:sz w:val="20"/>
          <w:szCs w:val="20"/>
          <w:u w:val="single"/>
        </w:rPr>
        <w:t xml:space="preserve">I CONVOCATORIA DE EQUIPOS DOCENTES DE FORMACIÓN </w:t>
      </w:r>
      <w:proofErr w:type="spellStart"/>
      <w:r w:rsidRPr="00F30C54">
        <w:rPr>
          <w:rFonts w:ascii="Palatino Linotype" w:hAnsi="Palatino Linotype"/>
          <w:b/>
          <w:i/>
          <w:sz w:val="20"/>
          <w:szCs w:val="20"/>
          <w:u w:val="single"/>
        </w:rPr>
        <w:t>AcademiaUGR</w:t>
      </w:r>
      <w:proofErr w:type="spellEnd"/>
      <w:r w:rsidRPr="00F30C54">
        <w:rPr>
          <w:rFonts w:ascii="Palatino Linotype" w:hAnsi="Palatino Linotype"/>
          <w:b/>
          <w:i/>
          <w:sz w:val="20"/>
          <w:szCs w:val="20"/>
          <w:u w:val="single"/>
        </w:rPr>
        <w:t>.</w:t>
      </w:r>
    </w:p>
    <w:p w:rsidR="00E74F3F" w:rsidRPr="00806E3C" w:rsidRDefault="00E74F3F" w:rsidP="00E74F3F">
      <w:pPr>
        <w:rPr>
          <w:rFonts w:ascii="Palatino Linotype" w:hAnsi="Palatino Linotype"/>
          <w:b/>
          <w:sz w:val="20"/>
          <w:szCs w:val="20"/>
        </w:rPr>
      </w:pPr>
      <w:r w:rsidRPr="00806E3C">
        <w:rPr>
          <w:rFonts w:ascii="Palatino Linotype" w:hAnsi="Palatino Linotype"/>
          <w:b/>
          <w:sz w:val="20"/>
          <w:szCs w:val="20"/>
        </w:rPr>
        <w:t>ANEXO 5. Criterios e indicadores en la evaluación de las solicitudes de FEDO</w:t>
      </w:r>
    </w:p>
    <w:p w:rsidR="00E74F3F" w:rsidRPr="00E33684" w:rsidRDefault="00E74F3F" w:rsidP="00E74F3F">
      <w:pPr>
        <w:pStyle w:val="Listaconvietasrojas"/>
        <w:jc w:val="center"/>
        <w:rPr>
          <w:rFonts w:ascii="Palatino Linotype" w:hAnsi="Palatino Linotype"/>
          <w:sz w:val="20"/>
          <w:szCs w:val="20"/>
        </w:rPr>
      </w:pPr>
      <w:r w:rsidRPr="00E33684">
        <w:rPr>
          <w:rFonts w:ascii="Palatino Linotype" w:hAnsi="Palatino Linotype"/>
          <w:sz w:val="20"/>
          <w:szCs w:val="20"/>
        </w:rPr>
        <w:t>Tabla 1. Criterios, indicadores y pesos en la evaluación de las solicitudes de FEDO</w:t>
      </w:r>
    </w:p>
    <w:tbl>
      <w:tblPr>
        <w:tblW w:w="499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9"/>
        <w:gridCol w:w="4922"/>
        <w:gridCol w:w="759"/>
      </w:tblGrid>
      <w:tr w:rsidR="00E74F3F" w:rsidRPr="00B711A3" w:rsidTr="00177290">
        <w:trPr>
          <w:trHeight w:val="301"/>
          <w:tblHeader/>
        </w:trPr>
        <w:tc>
          <w:tcPr>
            <w:tcW w:w="2044" w:type="pc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FF0000"/>
            <w:vAlign w:val="center"/>
            <w:hideMark/>
          </w:tcPr>
          <w:p w:rsidR="00E74F3F" w:rsidRPr="00B711A3" w:rsidRDefault="00E74F3F" w:rsidP="00177290">
            <w:pPr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</w:rPr>
              <w:t>Criterio</w:t>
            </w:r>
          </w:p>
        </w:tc>
        <w:tc>
          <w:tcPr>
            <w:tcW w:w="2561" w:type="pct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vAlign w:val="center"/>
            <w:hideMark/>
          </w:tcPr>
          <w:p w:rsidR="00E74F3F" w:rsidRPr="00B711A3" w:rsidRDefault="00E74F3F" w:rsidP="00177290">
            <w:pPr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</w:rPr>
              <w:t>Indicadores y ponderación relativa de cada criterio</w:t>
            </w:r>
          </w:p>
        </w:tc>
        <w:tc>
          <w:tcPr>
            <w:tcW w:w="395" w:type="pct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vAlign w:val="center"/>
            <w:hideMark/>
          </w:tcPr>
          <w:p w:rsidR="00E74F3F" w:rsidRPr="00B711A3" w:rsidRDefault="00E74F3F" w:rsidP="00177290">
            <w:pPr>
              <w:jc w:val="center"/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E74F3F" w:rsidRPr="00B711A3" w:rsidTr="00177290">
        <w:trPr>
          <w:trHeight w:val="1145"/>
        </w:trPr>
        <w:tc>
          <w:tcPr>
            <w:tcW w:w="2044" w:type="pct"/>
            <w:vMerge w:val="restart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1. La relevancia, interés y viabilidad del programa formativo presentado.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La propuesta plantea un programa formativo con tópicos formativos de interés, actuales y prevé las dificultades y procedimientos para superarlas en su desarrollo.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5%</w:t>
            </w:r>
          </w:p>
        </w:tc>
      </w:tr>
      <w:tr w:rsidR="00E74F3F" w:rsidRPr="00B711A3" w:rsidTr="00177290">
        <w:trPr>
          <w:trHeight w:val="301"/>
        </w:trPr>
        <w:tc>
          <w:tcPr>
            <w:tcW w:w="2044" w:type="pct"/>
            <w:vMerge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vAlign w:val="center"/>
            <w:hideMark/>
          </w:tcPr>
          <w:p w:rsidR="00E74F3F" w:rsidRPr="00B711A3" w:rsidRDefault="00E74F3F" w:rsidP="00177290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La propuesta surge de un adecuado diagnóstico de necesidades docentes.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5%</w:t>
            </w:r>
          </w:p>
        </w:tc>
      </w:tr>
      <w:tr w:rsidR="00E74F3F" w:rsidRPr="00B711A3" w:rsidTr="00177290">
        <w:trPr>
          <w:trHeight w:val="3508"/>
        </w:trPr>
        <w:tc>
          <w:tcPr>
            <w:tcW w:w="2044" w:type="pct"/>
            <w:tcBorders>
              <w:top w:val="single" w:sz="8" w:space="0" w:color="FF0000"/>
              <w:left w:val="single" w:sz="8" w:space="0" w:color="FF0000"/>
              <w:bottom w:val="nil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2. La adecuada formación o experiencia de los ponentes o del equipo en la temática de la formación.</w:t>
            </w:r>
          </w:p>
        </w:tc>
        <w:tc>
          <w:tcPr>
            <w:tcW w:w="2561" w:type="pct"/>
            <w:tcBorders>
              <w:top w:val="nil"/>
              <w:left w:val="nil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El equipo solicitante 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y/</w:t>
            </w: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o los ponentes poseen una adecuada formación previa en la temática de formación.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El equipo solicitante posee la solvencia para desarrollar el proyecto (por su composición, número de participantes, etc.). La experiencia del profesorado participante como experto o mentor experimentado, en el caso de los Equipos docentes para la formación inicial del profesorado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es dilatada</w:t>
            </w: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Igualmente con</w:t>
            </w: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la implicación previa del profesorado en actividades de formación para la docencia, vinculación a proyectos de innovación, experiencias piloto o evaluación de titulaciones en el caso de Equipos docentes de formación continua.</w:t>
            </w:r>
          </w:p>
        </w:tc>
        <w:tc>
          <w:tcPr>
            <w:tcW w:w="395" w:type="pct"/>
            <w:tcBorders>
              <w:top w:val="nil"/>
              <w:left w:val="nil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20 </w:t>
            </w: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%</w:t>
            </w:r>
          </w:p>
        </w:tc>
      </w:tr>
      <w:tr w:rsidR="00E74F3F" w:rsidRPr="00B711A3" w:rsidTr="00177290">
        <w:trPr>
          <w:trHeight w:val="592"/>
        </w:trPr>
        <w:tc>
          <w:tcPr>
            <w:tcW w:w="2044" w:type="pct"/>
            <w:vMerge w:val="restart"/>
            <w:tcBorders>
              <w:top w:val="single" w:sz="8" w:space="0" w:color="FF0000"/>
              <w:left w:val="single" w:sz="8" w:space="0" w:color="FF0000"/>
              <w:bottom w:val="nil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3. La adecuación de los objetivos y la metodología de la propuesta formativa planteada.</w:t>
            </w:r>
          </w:p>
        </w:tc>
        <w:tc>
          <w:tcPr>
            <w:tcW w:w="2561" w:type="pct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La propuesta plantea objetivos claros, operativos y alcanzables. Los objetivos son relevantes.</w:t>
            </w:r>
          </w:p>
        </w:tc>
        <w:tc>
          <w:tcPr>
            <w:tcW w:w="395" w:type="pct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10%</w:t>
            </w:r>
          </w:p>
        </w:tc>
      </w:tr>
      <w:tr w:rsidR="00E74F3F" w:rsidRPr="00B711A3" w:rsidTr="00177290">
        <w:trPr>
          <w:trHeight w:val="1115"/>
        </w:trPr>
        <w:tc>
          <w:tcPr>
            <w:tcW w:w="2044" w:type="pct"/>
            <w:vMerge/>
            <w:tcBorders>
              <w:top w:val="single" w:sz="8" w:space="0" w:color="FF0000"/>
              <w:left w:val="single" w:sz="8" w:space="0" w:color="FF0000"/>
              <w:bottom w:val="nil"/>
              <w:right w:val="single" w:sz="8" w:space="0" w:color="FF0000"/>
            </w:tcBorders>
            <w:vAlign w:val="center"/>
            <w:hideMark/>
          </w:tcPr>
          <w:p w:rsidR="00E74F3F" w:rsidRPr="00B711A3" w:rsidRDefault="00E74F3F" w:rsidP="00177290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61" w:type="pct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La propuesta plantea una metodología, y secuencia lógica de desarrollo y especifica acciones y tareas de forma adecuada, aportando una adecuada planificación temporal de las actividades y recursos, especificando plazos específicos.</w:t>
            </w:r>
          </w:p>
        </w:tc>
        <w:tc>
          <w:tcPr>
            <w:tcW w:w="395" w:type="pct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15%</w:t>
            </w:r>
          </w:p>
        </w:tc>
      </w:tr>
      <w:tr w:rsidR="00E74F3F" w:rsidRPr="00B711A3" w:rsidTr="00177290">
        <w:trPr>
          <w:trHeight w:val="665"/>
        </w:trPr>
        <w:tc>
          <w:tcPr>
            <w:tcW w:w="2044" w:type="pct"/>
            <w:vMerge/>
            <w:tcBorders>
              <w:top w:val="single" w:sz="8" w:space="0" w:color="FF0000"/>
              <w:left w:val="single" w:sz="8" w:space="0" w:color="FF0000"/>
              <w:bottom w:val="nil"/>
              <w:right w:val="single" w:sz="8" w:space="0" w:color="FF0000"/>
            </w:tcBorders>
            <w:vAlign w:val="center"/>
            <w:hideMark/>
          </w:tcPr>
          <w:p w:rsidR="00E74F3F" w:rsidRPr="00B711A3" w:rsidRDefault="00E74F3F" w:rsidP="00177290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La propuesta considera en todos sus apartados (objetivos, contenidos, metodología,…) valores que se integran y describen el Plan de calidad de la UGR: Autonomía, transparencia, experiencia, internacionalización, igualdad, inclusión, discapacidad, accesibilidad universal, diseño para todas las personas, sostenibilidad, futuro, desarrollo del emprendimiento, empleabilidad del alumnado, vida saludable, sostenibilidad de las prácticas docentes, su internacionalización, digitalización o virtualización o la transferencia del conocimiento. Con </w:t>
            </w: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lastRenderedPageBreak/>
              <w:t>especial atención a la diversidad e inclusión de las personas con capacidades distintas o NEAE.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lastRenderedPageBreak/>
              <w:t>5%</w:t>
            </w:r>
          </w:p>
        </w:tc>
      </w:tr>
      <w:tr w:rsidR="00E74F3F" w:rsidRPr="00B711A3" w:rsidTr="00177290">
        <w:trPr>
          <w:trHeight w:val="432"/>
        </w:trPr>
        <w:tc>
          <w:tcPr>
            <w:tcW w:w="2044" w:type="pct"/>
            <w:vMerge w:val="restar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4. La adecuación de la evaluación de la propuesta formativa y los procedimientos de difusión de los resultados de la actividad.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La propuesta </w:t>
            </w:r>
            <w:proofErr w:type="spellStart"/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especifica</w:t>
            </w:r>
            <w:proofErr w:type="spellEnd"/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un plan de difusión de las actividades programadas.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5%</w:t>
            </w:r>
          </w:p>
        </w:tc>
      </w:tr>
      <w:tr w:rsidR="00E74F3F" w:rsidRPr="00B711A3" w:rsidTr="00177290">
        <w:trPr>
          <w:trHeight w:val="1195"/>
        </w:trPr>
        <w:tc>
          <w:tcPr>
            <w:tcW w:w="2044" w:type="pct"/>
            <w:vMerge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:rsidR="00E74F3F" w:rsidRPr="00B711A3" w:rsidRDefault="00E74F3F" w:rsidP="00177290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La propuesta establece el proceso a seguir para la evaluación de los resultados alcanzados, materiales o productos derivados y su impacto, en cuanto a la transformación y mejora de las prácticas docentes.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5%</w:t>
            </w:r>
          </w:p>
        </w:tc>
      </w:tr>
      <w:tr w:rsidR="00E74F3F" w:rsidRPr="00B711A3" w:rsidTr="00177290">
        <w:trPr>
          <w:trHeight w:val="1527"/>
        </w:trPr>
        <w:tc>
          <w:tcPr>
            <w:tcW w:w="2044" w:type="pct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5. Los beneficios para la formación del profesorado y resultados derivados para la mejora de la práctica docente aprendizaje.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La propuesta </w:t>
            </w:r>
            <w:proofErr w:type="spellStart"/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especifica</w:t>
            </w:r>
            <w:proofErr w:type="spellEnd"/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los resultados en relación con la formación docente y a la influencia en la transformación que esta supondrá en el aprendizaje del alumnado, que supone una mejora de las formaciones existentes. Los recursos o productos derivados planteados son transferibles y útiles para otros equipos o para la comunidad universitaria, y van a estar disponibles para la comunidad universitaria.</w:t>
            </w:r>
          </w:p>
        </w:tc>
        <w:tc>
          <w:tcPr>
            <w:tcW w:w="395" w:type="pct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10%</w:t>
            </w:r>
          </w:p>
        </w:tc>
      </w:tr>
      <w:tr w:rsidR="00E74F3F" w:rsidRPr="00B711A3" w:rsidTr="00177290">
        <w:trPr>
          <w:trHeight w:val="1175"/>
        </w:trPr>
        <w:tc>
          <w:tcPr>
            <w:tcW w:w="2044" w:type="pct"/>
            <w:vMerge w:val="restart"/>
            <w:tcBorders>
              <w:top w:val="single" w:sz="8" w:space="0" w:color="FF0000"/>
              <w:left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6. 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Interés para la Universidad de l</w:t>
            </w: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os recursos y productos derivados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y la relación entre su coste y los beneficios que aporta.</w:t>
            </w:r>
          </w:p>
          <w:p w:rsidR="00E74F3F" w:rsidRPr="00B711A3" w:rsidRDefault="00E74F3F" w:rsidP="00177290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El informe de la Comisión de Calidad del Centro otorga una valoración favorable</w:t>
            </w: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por el interés de la formación ofertada y su alineación con el plan director del Centro.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10%</w:t>
            </w:r>
          </w:p>
        </w:tc>
      </w:tr>
      <w:tr w:rsidR="00E74F3F" w:rsidRPr="00B711A3" w:rsidTr="00177290">
        <w:trPr>
          <w:trHeight w:val="773"/>
        </w:trPr>
        <w:tc>
          <w:tcPr>
            <w:tcW w:w="2044" w:type="pct"/>
            <w:vMerge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La propuesta plantea una adecuada relación entre su coste y los beneficios que aporta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*</w:t>
            </w: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B711A3" w:rsidRDefault="00E74F3F" w:rsidP="0017729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B711A3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10%</w:t>
            </w:r>
          </w:p>
        </w:tc>
      </w:tr>
      <w:tr w:rsidR="00E74F3F" w:rsidRPr="00897331" w:rsidTr="00177290">
        <w:trPr>
          <w:trHeight w:val="1500"/>
        </w:trPr>
        <w:tc>
          <w:tcPr>
            <w:tcW w:w="5000" w:type="pct"/>
            <w:gridSpan w:val="3"/>
            <w:tcBorders>
              <w:top w:val="single" w:sz="8" w:space="0" w:color="FF0000"/>
              <w:left w:val="single" w:sz="8" w:space="0" w:color="FF0000"/>
              <w:bottom w:val="single" w:sz="12" w:space="0" w:color="C0504D" w:themeColor="accent2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E74F3F" w:rsidRPr="00897331" w:rsidRDefault="00E74F3F" w:rsidP="00177290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8973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Escala de valoración:</w:t>
            </w:r>
          </w:p>
          <w:p w:rsidR="00E74F3F" w:rsidRPr="00897331" w:rsidRDefault="00E74F3F" w:rsidP="00177290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8973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(0): Ausencia del indicador/No lo considera o no lo realiza adecuadamente.</w:t>
            </w:r>
          </w:p>
          <w:p w:rsidR="00E74F3F" w:rsidRPr="00897331" w:rsidRDefault="00E74F3F" w:rsidP="00177290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8973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(1): Lo considera o realiza, pero de forma insuficiente o mejorable</w:t>
            </w:r>
          </w:p>
          <w:p w:rsidR="00E74F3F" w:rsidRPr="00897331" w:rsidRDefault="00E74F3F" w:rsidP="00177290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8973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(2): Lo considera o realiza de forma suficiente y adecuada.</w:t>
            </w:r>
          </w:p>
          <w:p w:rsidR="00E74F3F" w:rsidRPr="00897331" w:rsidRDefault="00E74F3F" w:rsidP="00177290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8973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(3): Lo considera o realiza de forma sobresaliente. </w:t>
            </w:r>
          </w:p>
          <w:p w:rsidR="00E74F3F" w:rsidRPr="00897331" w:rsidRDefault="00E74F3F" w:rsidP="00177290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897331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(4): Lo con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sidera de manera excepcional.  </w:t>
            </w:r>
          </w:p>
        </w:tc>
      </w:tr>
    </w:tbl>
    <w:p w:rsidR="00E74F3F" w:rsidRPr="00E33684" w:rsidRDefault="00E74F3F" w:rsidP="00E74F3F">
      <w:pPr>
        <w:pStyle w:val="Listaconvietasrojas"/>
        <w:ind w:left="851"/>
        <w:rPr>
          <w:rFonts w:ascii="Palatino Linotype" w:hAnsi="Palatino Linotype"/>
          <w:sz w:val="20"/>
          <w:szCs w:val="20"/>
        </w:rPr>
      </w:pPr>
      <w:r w:rsidRPr="00897331">
        <w:rPr>
          <w:rFonts w:ascii="Palatino Linotype" w:hAnsi="Palatino Linotype"/>
          <w:sz w:val="20"/>
          <w:szCs w:val="20"/>
        </w:rPr>
        <w:t>*Las solicitudes que no requieran subvención tendrán la máxima puntuación en el apartado 6.2, referido a su presupuesto.</w:t>
      </w:r>
    </w:p>
    <w:p w:rsidR="001158DF" w:rsidRDefault="001158DF"/>
    <w:sectPr w:rsidR="001158DF" w:rsidSect="0020066D">
      <w:headerReference w:type="default" r:id="rId6"/>
      <w:footerReference w:type="default" r:id="rId7"/>
      <w:pgSz w:w="11906" w:h="16838" w:code="9"/>
      <w:pgMar w:top="1134" w:right="1134" w:bottom="1418" w:left="1134" w:header="709" w:footer="441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6961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75952" w:rsidRDefault="009B06FF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75952" w:rsidRPr="00716EBA" w:rsidRDefault="009B06FF" w:rsidP="007C0A13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952" w:rsidRDefault="009B06FF" w:rsidP="00BC13BB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1EEB6423" wp14:editId="476D61B0">
          <wp:extent cx="1439545" cy="1439545"/>
          <wp:effectExtent l="0" t="0" r="0" b="0"/>
          <wp:docPr id="7" name="0 Imagen" title="logo UGR vertical sin grad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5952" w:rsidRDefault="009B06FF" w:rsidP="00BC13B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1B4154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3F"/>
    <w:rsid w:val="000552CC"/>
    <w:rsid w:val="001158DF"/>
    <w:rsid w:val="00295317"/>
    <w:rsid w:val="00390503"/>
    <w:rsid w:val="0058459F"/>
    <w:rsid w:val="00996E15"/>
    <w:rsid w:val="009B06FF"/>
    <w:rsid w:val="00BC632B"/>
    <w:rsid w:val="00E74F3F"/>
    <w:rsid w:val="00F1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4139F-19BC-4837-955A-D9769EF1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F3F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C632B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74F3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pedro">
    <w:name w:val="titulopedro"/>
    <w:basedOn w:val="Ttulo1"/>
    <w:next w:val="Normal"/>
    <w:qFormat/>
    <w:rsid w:val="00BC632B"/>
    <w:pPr>
      <w:keepLines w:val="0"/>
      <w:shd w:val="clear" w:color="auto" w:fill="B8CCE4" w:themeFill="accent1" w:themeFillTint="66"/>
      <w:spacing w:before="240" w:after="60"/>
    </w:pPr>
    <w:rPr>
      <w:rFonts w:ascii="Arial" w:eastAsia="Times New Roman" w:hAnsi="Arial" w:cs="Arial"/>
      <w:color w:val="auto"/>
      <w:kern w:val="28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BC6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tilo1">
    <w:name w:val="Estilo1"/>
    <w:basedOn w:val="Ttulo1"/>
    <w:next w:val="Normal"/>
    <w:link w:val="Estilo1Car"/>
    <w:qFormat/>
    <w:rsid w:val="00390503"/>
    <w:pPr>
      <w:keepLines w:val="0"/>
      <w:numPr>
        <w:numId w:val="0"/>
      </w:numPr>
      <w:spacing w:before="120" w:after="120" w:line="276" w:lineRule="auto"/>
      <w:ind w:left="57" w:right="57"/>
    </w:pPr>
    <w:rPr>
      <w:rFonts w:ascii="Arial" w:eastAsia="Calibri" w:hAnsi="Arial" w:cs="Arial"/>
      <w:b w:val="0"/>
      <w:i/>
      <w:color w:val="1F497D" w:themeColor="text2"/>
      <w:kern w:val="32"/>
      <w:sz w:val="24"/>
      <w:szCs w:val="32"/>
      <w:lang w:eastAsia="en-US"/>
    </w:rPr>
  </w:style>
  <w:style w:type="character" w:customStyle="1" w:styleId="Estilo1Car">
    <w:name w:val="Estilo1 Car"/>
    <w:basedOn w:val="Ttulo1Car"/>
    <w:link w:val="Estilo1"/>
    <w:rsid w:val="00390503"/>
    <w:rPr>
      <w:rFonts w:ascii="Arial" w:eastAsia="Calibri" w:hAnsi="Arial" w:cs="Arial"/>
      <w:b w:val="0"/>
      <w:bCs/>
      <w:i/>
      <w:color w:val="1F497D" w:themeColor="text2"/>
      <w:kern w:val="32"/>
      <w:sz w:val="24"/>
      <w:szCs w:val="32"/>
    </w:rPr>
  </w:style>
  <w:style w:type="character" w:customStyle="1" w:styleId="Ttulo3Car">
    <w:name w:val="Título 3 Car"/>
    <w:basedOn w:val="Fuentedeprrafopredeter"/>
    <w:link w:val="Ttulo3"/>
    <w:uiPriority w:val="99"/>
    <w:rsid w:val="00E74F3F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74F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F3F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74F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F3F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Listaconvietasrojas">
    <w:name w:val="Lista con viñetas rojas"/>
    <w:basedOn w:val="Normal"/>
    <w:uiPriority w:val="99"/>
    <w:rsid w:val="00E74F3F"/>
    <w:pPr>
      <w:spacing w:before="120" w:after="120"/>
      <w:jc w:val="both"/>
    </w:pPr>
    <w:rPr>
      <w:rFonts w:ascii="Roboto" w:hAnsi="Roboto"/>
      <w:sz w:val="22"/>
    </w:rPr>
  </w:style>
  <w:style w:type="paragraph" w:customStyle="1" w:styleId="ListParagraph1">
    <w:name w:val="List Paragraph1"/>
    <w:basedOn w:val="Normal"/>
    <w:uiPriority w:val="99"/>
    <w:rsid w:val="00E74F3F"/>
    <w:pPr>
      <w:spacing w:after="160" w:line="259" w:lineRule="auto"/>
      <w:ind w:left="720"/>
      <w:contextualSpacing/>
    </w:pPr>
    <w:rPr>
      <w:rFonts w:ascii="Cambria" w:hAnsi="Cambria"/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E74F3F"/>
    <w:pPr>
      <w:spacing w:after="0" w:line="240" w:lineRule="auto"/>
    </w:pPr>
    <w:rPr>
      <w:rFonts w:ascii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43564-F437-4005-8557-4BFB3578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</cp:lastModifiedBy>
  <cp:revision>2</cp:revision>
  <dcterms:created xsi:type="dcterms:W3CDTF">2024-06-03T12:03:00Z</dcterms:created>
  <dcterms:modified xsi:type="dcterms:W3CDTF">2024-06-03T12:03:00Z</dcterms:modified>
</cp:coreProperties>
</file>